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C8AFF" w14:textId="77777777" w:rsidR="006D0688" w:rsidRDefault="006D0688" w:rsidP="006D0688">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3260"/>
      </w:tblGrid>
      <w:tr w:rsidR="006D0688" w14:paraId="0861616A" w14:textId="77777777" w:rsidTr="00512568">
        <w:trPr>
          <w:trHeight w:val="3159"/>
        </w:trPr>
        <w:tc>
          <w:tcPr>
            <w:tcW w:w="2410" w:type="dxa"/>
          </w:tcPr>
          <w:p w14:paraId="621D3E3D" w14:textId="3704DE99" w:rsidR="006D0688" w:rsidRDefault="00512568" w:rsidP="006D0688">
            <w:pPr>
              <w:spacing w:after="0" w:line="240" w:lineRule="auto"/>
            </w:pPr>
            <w:r>
              <w:rPr>
                <w:noProof/>
              </w:rPr>
              <w:drawing>
                <wp:inline distT="0" distB="0" distL="0" distR="0" wp14:anchorId="4D7A741D" wp14:editId="250E4E1F">
                  <wp:extent cx="1504950" cy="21615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15" cy="2169677"/>
                          </a:xfrm>
                          <a:prstGeom prst="rect">
                            <a:avLst/>
                          </a:prstGeom>
                          <a:noFill/>
                          <a:ln>
                            <a:noFill/>
                          </a:ln>
                        </pic:spPr>
                      </pic:pic>
                    </a:graphicData>
                  </a:graphic>
                </wp:inline>
              </w:drawing>
            </w:r>
          </w:p>
        </w:tc>
        <w:tc>
          <w:tcPr>
            <w:tcW w:w="3260" w:type="dxa"/>
            <w:vAlign w:val="bottom"/>
          </w:tcPr>
          <w:p w14:paraId="193A3180" w14:textId="17149A1C" w:rsidR="006D0688" w:rsidRPr="00A848B3" w:rsidRDefault="006D0688" w:rsidP="006D0688">
            <w:pPr>
              <w:spacing w:after="0" w:line="240" w:lineRule="auto"/>
              <w:rPr>
                <w:b/>
                <w:color w:val="084439"/>
                <w:lang w:val="en-CA"/>
              </w:rPr>
            </w:pPr>
            <w:r w:rsidRPr="00A848B3">
              <w:rPr>
                <w:b/>
                <w:color w:val="084439"/>
                <w:lang w:val="en-CA"/>
              </w:rPr>
              <w:t>ERIC BÉDARD</w:t>
            </w:r>
            <w:r w:rsidR="00A664D1">
              <w:rPr>
                <w:b/>
                <w:color w:val="084439"/>
                <w:lang w:val="en-CA"/>
              </w:rPr>
              <w:t>, B.A., B.C.L., LL.B.</w:t>
            </w:r>
          </w:p>
          <w:p w14:paraId="6889B7D1" w14:textId="77777777" w:rsidR="006D0688" w:rsidRPr="00A848B3" w:rsidRDefault="006D0688" w:rsidP="006D0688">
            <w:pPr>
              <w:spacing w:after="0" w:line="240" w:lineRule="auto"/>
              <w:rPr>
                <w:lang w:val="en-CA"/>
              </w:rPr>
            </w:pPr>
            <w:r w:rsidRPr="00A848B3">
              <w:rPr>
                <w:lang w:val="en-CA"/>
              </w:rPr>
              <w:t>514-982-1736</w:t>
            </w:r>
          </w:p>
          <w:p w14:paraId="065DAF3C" w14:textId="77777777" w:rsidR="006D0688" w:rsidRPr="00A848B3" w:rsidRDefault="006D0688" w:rsidP="006D0688">
            <w:pPr>
              <w:spacing w:after="0" w:line="240" w:lineRule="auto"/>
              <w:rPr>
                <w:lang w:val="en-CA"/>
              </w:rPr>
            </w:pPr>
            <w:r w:rsidRPr="00A848B3">
              <w:rPr>
                <w:lang w:val="en-CA"/>
              </w:rPr>
              <w:t>ebedard@woods.qc.ca</w:t>
            </w:r>
          </w:p>
          <w:p w14:paraId="53185043" w14:textId="77777777" w:rsidR="006D0688" w:rsidRPr="00A848B3" w:rsidRDefault="006D0688" w:rsidP="006D0688">
            <w:pPr>
              <w:spacing w:after="0" w:line="240" w:lineRule="auto"/>
              <w:rPr>
                <w:lang w:val="en-CA"/>
              </w:rPr>
            </w:pPr>
          </w:p>
          <w:p w14:paraId="66CBEE68" w14:textId="77777777" w:rsidR="006D0688" w:rsidRPr="005B23C2" w:rsidRDefault="006D0688" w:rsidP="006D0688">
            <w:pPr>
              <w:spacing w:after="0" w:line="240" w:lineRule="auto"/>
              <w:rPr>
                <w:lang w:val="en-CA"/>
              </w:rPr>
            </w:pPr>
            <w:r w:rsidRPr="005B23C2">
              <w:rPr>
                <w:lang w:val="en-CA"/>
              </w:rPr>
              <w:t>Member of the Quebec Bar since 2010</w:t>
            </w:r>
          </w:p>
          <w:p w14:paraId="38860457" w14:textId="77777777" w:rsidR="006D0688" w:rsidRDefault="006D0688" w:rsidP="006D0688">
            <w:pPr>
              <w:spacing w:after="0" w:line="240" w:lineRule="auto"/>
            </w:pPr>
            <w:r w:rsidRPr="005B23C2">
              <w:t>Languages: French, English</w:t>
            </w:r>
          </w:p>
        </w:tc>
      </w:tr>
    </w:tbl>
    <w:p w14:paraId="1AE2D0E3" w14:textId="77777777" w:rsidR="006D0688" w:rsidRDefault="006D0688" w:rsidP="006D0688">
      <w:pPr>
        <w:spacing w:after="0" w:line="240" w:lineRule="auto"/>
        <w:rPr>
          <w:lang w:val="en-CA"/>
        </w:rPr>
      </w:pPr>
    </w:p>
    <w:tbl>
      <w:tblPr>
        <w:tblStyle w:val="Grilledutableau"/>
        <w:tblW w:w="0" w:type="auto"/>
        <w:tblLook w:val="04A0" w:firstRow="1" w:lastRow="0" w:firstColumn="1" w:lastColumn="0" w:noHBand="0" w:noVBand="1"/>
      </w:tblPr>
      <w:tblGrid>
        <w:gridCol w:w="8640"/>
      </w:tblGrid>
      <w:tr w:rsidR="006D0688" w14:paraId="4C6306FF" w14:textId="77777777" w:rsidTr="00A664D1">
        <w:tc>
          <w:tcPr>
            <w:tcW w:w="8640" w:type="dxa"/>
            <w:tcBorders>
              <w:top w:val="nil"/>
              <w:left w:val="nil"/>
              <w:bottom w:val="nil"/>
              <w:right w:val="nil"/>
            </w:tcBorders>
            <w:shd w:val="clear" w:color="auto" w:fill="084439"/>
          </w:tcPr>
          <w:p w14:paraId="1A4E641A" w14:textId="77777777" w:rsidR="006D0688" w:rsidRDefault="006D0688" w:rsidP="006D0688">
            <w:pPr>
              <w:spacing w:after="0" w:line="240" w:lineRule="auto"/>
              <w:jc w:val="both"/>
              <w:rPr>
                <w:b/>
              </w:rPr>
            </w:pPr>
            <w:r>
              <w:rPr>
                <w:b/>
              </w:rPr>
              <w:t>REPRESENTATIVE MANDATES</w:t>
            </w:r>
          </w:p>
        </w:tc>
      </w:tr>
    </w:tbl>
    <w:p w14:paraId="0E103E67" w14:textId="77777777" w:rsidR="006D0688" w:rsidRDefault="006D0688" w:rsidP="006D0688">
      <w:pPr>
        <w:spacing w:after="0" w:line="240" w:lineRule="auto"/>
      </w:pPr>
    </w:p>
    <w:p w14:paraId="6F7542C5" w14:textId="74C58E38" w:rsidR="006D0688" w:rsidRDefault="006D0688" w:rsidP="006D0688">
      <w:pPr>
        <w:pStyle w:val="Paragraphedeliste"/>
        <w:numPr>
          <w:ilvl w:val="0"/>
          <w:numId w:val="2"/>
        </w:numPr>
        <w:spacing w:after="0" w:line="240" w:lineRule="auto"/>
        <w:rPr>
          <w:bCs/>
          <w:lang w:val="en-CA"/>
        </w:rPr>
      </w:pPr>
      <w:r w:rsidRPr="00614BDC">
        <w:rPr>
          <w:b/>
          <w:lang w:val="en-CA"/>
        </w:rPr>
        <w:t>Major commercial disputes</w:t>
      </w:r>
      <w:r w:rsidRPr="00614BDC">
        <w:rPr>
          <w:bCs/>
          <w:lang w:val="en-CA"/>
        </w:rPr>
        <w:t>: key member of the team that defended the interests of the consortium involved in the failed privatization of BCE Inc. (break up fee litigation), including obtaining a decision in the pending proceedings with a significant strategic impact</w:t>
      </w:r>
      <w:r w:rsidRPr="00614BDC">
        <w:rPr>
          <w:lang w:val="en-CA"/>
        </w:rPr>
        <w:t>,</w:t>
      </w:r>
      <w:r w:rsidRPr="00614BDC">
        <w:rPr>
          <w:bCs/>
          <w:lang w:val="en-CA"/>
        </w:rPr>
        <w:t xml:space="preserve"> and of the team that represented FCA Canada Inc.'s interests against Coopers &amp; Lybrand (saga Castor Holding).</w:t>
      </w:r>
    </w:p>
    <w:p w14:paraId="59EDF932" w14:textId="77777777" w:rsidR="00A664D1" w:rsidRPr="00A664D1" w:rsidRDefault="00A664D1" w:rsidP="00A664D1">
      <w:pPr>
        <w:pStyle w:val="Paragraphedeliste"/>
        <w:spacing w:after="0" w:line="240" w:lineRule="auto"/>
        <w:rPr>
          <w:bCs/>
          <w:lang w:val="en-CA"/>
        </w:rPr>
      </w:pPr>
    </w:p>
    <w:p w14:paraId="008F73C9" w14:textId="197DE0F0" w:rsidR="006D0688" w:rsidRDefault="006D0688" w:rsidP="006D0688">
      <w:pPr>
        <w:pStyle w:val="Paragraphedeliste"/>
        <w:numPr>
          <w:ilvl w:val="0"/>
          <w:numId w:val="2"/>
        </w:numPr>
        <w:spacing w:after="0" w:line="240" w:lineRule="auto"/>
        <w:rPr>
          <w:bCs/>
          <w:lang w:val="en-CA"/>
        </w:rPr>
      </w:pPr>
      <w:r w:rsidRPr="00614BDC">
        <w:rPr>
          <w:b/>
          <w:lang w:val="en-CA"/>
        </w:rPr>
        <w:t>Contract litigation</w:t>
      </w:r>
      <w:r w:rsidRPr="00614BDC">
        <w:rPr>
          <w:bCs/>
          <w:lang w:val="en-CA"/>
        </w:rPr>
        <w:t>: significant expertise in disputes in the telecommunications and technology industries: wireless networks, royalties, signal piracy, private financing, software licenses or resale and related royalties, or between customer and supplier.</w:t>
      </w:r>
    </w:p>
    <w:p w14:paraId="47DD4693" w14:textId="77777777" w:rsidR="00A664D1" w:rsidRPr="00A664D1" w:rsidRDefault="00A664D1" w:rsidP="00A664D1">
      <w:pPr>
        <w:pStyle w:val="Paragraphedeliste"/>
        <w:rPr>
          <w:bCs/>
          <w:lang w:val="en-CA"/>
        </w:rPr>
      </w:pPr>
    </w:p>
    <w:p w14:paraId="1A598F02" w14:textId="50015046" w:rsidR="006D0688" w:rsidRPr="00A664D1" w:rsidRDefault="006D0688" w:rsidP="006D0688">
      <w:pPr>
        <w:pStyle w:val="Paragraphedeliste"/>
        <w:numPr>
          <w:ilvl w:val="0"/>
          <w:numId w:val="2"/>
        </w:numPr>
        <w:spacing w:after="0" w:line="240" w:lineRule="auto"/>
        <w:rPr>
          <w:bCs/>
          <w:lang w:val="en-CA"/>
        </w:rPr>
      </w:pPr>
      <w:r w:rsidRPr="00614BDC">
        <w:rPr>
          <w:b/>
          <w:lang w:val="en-CA"/>
        </w:rPr>
        <w:t>Franchisor-franchisee litigation</w:t>
      </w:r>
      <w:r w:rsidRPr="00614BDC">
        <w:rPr>
          <w:bCs/>
          <w:lang w:val="en-CA"/>
        </w:rPr>
        <w:t>: successful representation of franchisors, franchisees or entities involved in distribution agreement and manufacturing agent disputes.  Notably, had the action of a manufacturer's agent against a distributor of sports clothing and accessories because of the breach of their agreement dismissed for serious reasons</w:t>
      </w:r>
      <w:r w:rsidRPr="00614BDC">
        <w:rPr>
          <w:lang w:val="en-CA"/>
        </w:rPr>
        <w:t>.</w:t>
      </w:r>
    </w:p>
    <w:p w14:paraId="65C9AEC0" w14:textId="77777777" w:rsidR="00A664D1" w:rsidRPr="00A664D1" w:rsidRDefault="00A664D1" w:rsidP="00A664D1">
      <w:pPr>
        <w:pStyle w:val="Paragraphedeliste"/>
        <w:rPr>
          <w:bCs/>
          <w:lang w:val="en-CA"/>
        </w:rPr>
      </w:pPr>
    </w:p>
    <w:p w14:paraId="78D000EA" w14:textId="0E1F2114" w:rsidR="006D0688" w:rsidRDefault="006D0688" w:rsidP="006D0688">
      <w:pPr>
        <w:pStyle w:val="Paragraphedeliste"/>
        <w:numPr>
          <w:ilvl w:val="0"/>
          <w:numId w:val="2"/>
        </w:numPr>
        <w:spacing w:after="0" w:line="240" w:lineRule="auto"/>
        <w:rPr>
          <w:bCs/>
          <w:lang w:val="en-CA"/>
        </w:rPr>
      </w:pPr>
      <w:r w:rsidRPr="00614BDC">
        <w:rPr>
          <w:b/>
          <w:lang w:val="en-CA"/>
        </w:rPr>
        <w:t>Shareholder disputes</w:t>
      </w:r>
      <w:r w:rsidRPr="00614BDC">
        <w:rPr>
          <w:bCs/>
          <w:lang w:val="en-CA"/>
        </w:rPr>
        <w:t>: representation in conflicts and oppression proceedings for minority and majority shareholders and other stakeholders in private and public companies, in Quebec and federal jurisdictions.</w:t>
      </w:r>
    </w:p>
    <w:p w14:paraId="74142955" w14:textId="77777777" w:rsidR="00A664D1" w:rsidRPr="00A664D1" w:rsidRDefault="00A664D1" w:rsidP="00A664D1">
      <w:pPr>
        <w:pStyle w:val="Paragraphedeliste"/>
        <w:rPr>
          <w:bCs/>
          <w:lang w:val="en-CA"/>
        </w:rPr>
      </w:pPr>
    </w:p>
    <w:p w14:paraId="5EBFF765" w14:textId="78EC4647" w:rsidR="006D0688" w:rsidRDefault="006D0688" w:rsidP="006D0688">
      <w:pPr>
        <w:pStyle w:val="Paragraphedeliste"/>
        <w:numPr>
          <w:ilvl w:val="0"/>
          <w:numId w:val="2"/>
        </w:numPr>
        <w:spacing w:after="0" w:line="240" w:lineRule="auto"/>
        <w:rPr>
          <w:bCs/>
          <w:lang w:val="en-CA"/>
        </w:rPr>
      </w:pPr>
      <w:r w:rsidRPr="00614BDC">
        <w:rPr>
          <w:b/>
          <w:bCs/>
          <w:lang w:val="en-CA"/>
        </w:rPr>
        <w:t>Natural resources</w:t>
      </w:r>
      <w:r w:rsidRPr="00614BDC">
        <w:rPr>
          <w:bCs/>
          <w:lang w:val="en-CA"/>
        </w:rPr>
        <w:t>: significant expertise in contentious matters involving junior mining companies, geology and engineering service providers related to this type of project, including the acquisition, transfer, publication of mining and gas rights and permits, as well as their evaluation and disclosure requirements incumbent upon their holder, and revenue sharing</w:t>
      </w:r>
    </w:p>
    <w:p w14:paraId="1079D1F8" w14:textId="77777777" w:rsidR="00A664D1" w:rsidRPr="00A664D1" w:rsidRDefault="00A664D1" w:rsidP="00A664D1">
      <w:pPr>
        <w:pStyle w:val="Paragraphedeliste"/>
        <w:rPr>
          <w:bCs/>
          <w:lang w:val="en-CA"/>
        </w:rPr>
      </w:pPr>
    </w:p>
    <w:p w14:paraId="0582D2F5" w14:textId="2FCD32D3" w:rsidR="00A664D1" w:rsidRDefault="006D0688" w:rsidP="006D0688">
      <w:pPr>
        <w:pStyle w:val="Paragraphedeliste"/>
        <w:numPr>
          <w:ilvl w:val="0"/>
          <w:numId w:val="2"/>
        </w:numPr>
        <w:spacing w:after="0" w:line="240" w:lineRule="auto"/>
        <w:rPr>
          <w:bCs/>
          <w:lang w:val="en-CA"/>
        </w:rPr>
      </w:pPr>
      <w:r w:rsidRPr="00614BDC">
        <w:rPr>
          <w:b/>
          <w:lang w:val="en-CA"/>
        </w:rPr>
        <w:t xml:space="preserve">Urgent </w:t>
      </w:r>
      <w:r w:rsidRPr="00614BDC">
        <w:rPr>
          <w:b/>
          <w:bCs/>
          <w:lang w:val="en-CA"/>
        </w:rPr>
        <w:t>recourses</w:t>
      </w:r>
      <w:r w:rsidRPr="00614BDC">
        <w:rPr>
          <w:bCs/>
          <w:lang w:val="en-CA"/>
        </w:rPr>
        <w:t xml:space="preserve">: substantial experience </w:t>
      </w:r>
      <w:r w:rsidRPr="00614BDC">
        <w:rPr>
          <w:lang w:val="en-CA"/>
        </w:rPr>
        <w:t xml:space="preserve">with </w:t>
      </w:r>
      <w:r w:rsidRPr="00614BDC">
        <w:rPr>
          <w:bCs/>
          <w:lang w:val="en-CA"/>
        </w:rPr>
        <w:t xml:space="preserve">safeguard orders and provisional injunctions, including Anton Piller </w:t>
      </w:r>
      <w:r w:rsidRPr="00614BDC">
        <w:rPr>
          <w:lang w:val="en-CA"/>
        </w:rPr>
        <w:t xml:space="preserve">(as counsel and independent supervisory lawyer) </w:t>
      </w:r>
      <w:r w:rsidRPr="00614BDC">
        <w:rPr>
          <w:bCs/>
          <w:lang w:val="en-CA"/>
        </w:rPr>
        <w:t>and Norwich orders; very familiar with enforcement or rights preservation measures (seizure before judgment, seizure-execution, seizure-reclaim, etc.).</w:t>
      </w:r>
    </w:p>
    <w:tbl>
      <w:tblPr>
        <w:tblStyle w:val="Grilledutableau"/>
        <w:tblW w:w="0" w:type="auto"/>
        <w:tblLook w:val="04A0" w:firstRow="1" w:lastRow="0" w:firstColumn="1" w:lastColumn="0" w:noHBand="0" w:noVBand="1"/>
      </w:tblPr>
      <w:tblGrid>
        <w:gridCol w:w="8640"/>
      </w:tblGrid>
      <w:tr w:rsidR="006D0688" w14:paraId="6A1972A3" w14:textId="77777777" w:rsidTr="00A664D1">
        <w:tc>
          <w:tcPr>
            <w:tcW w:w="8640" w:type="dxa"/>
            <w:tcBorders>
              <w:top w:val="nil"/>
              <w:left w:val="nil"/>
              <w:bottom w:val="nil"/>
              <w:right w:val="nil"/>
            </w:tcBorders>
            <w:shd w:val="clear" w:color="auto" w:fill="084439"/>
          </w:tcPr>
          <w:p w14:paraId="06E3BEC0" w14:textId="77777777" w:rsidR="006D0688" w:rsidRPr="00A03949" w:rsidRDefault="006D0688" w:rsidP="006D0688">
            <w:pPr>
              <w:spacing w:after="0" w:line="240" w:lineRule="auto"/>
              <w:rPr>
                <w:b/>
              </w:rPr>
            </w:pPr>
            <w:r>
              <w:rPr>
                <w:b/>
              </w:rPr>
              <w:lastRenderedPageBreak/>
              <w:t>PROFESSIONAL ACTIVITIES AND ASSOCIATIONS</w:t>
            </w:r>
          </w:p>
        </w:tc>
      </w:tr>
    </w:tbl>
    <w:p w14:paraId="6D4FBB77" w14:textId="77777777" w:rsidR="006D0688" w:rsidRDefault="006D0688" w:rsidP="006D0688">
      <w:pPr>
        <w:spacing w:after="0" w:line="240" w:lineRule="auto"/>
        <w:rPr>
          <w:bCs/>
          <w:lang w:val="en-CA"/>
        </w:rPr>
      </w:pPr>
    </w:p>
    <w:p w14:paraId="26D7C5C9" w14:textId="77777777" w:rsidR="006D0688" w:rsidRPr="00AA2C0C" w:rsidRDefault="006D0688" w:rsidP="006D0688">
      <w:pPr>
        <w:spacing w:after="0" w:line="240" w:lineRule="auto"/>
        <w:rPr>
          <w:b/>
          <w:lang w:val="en-CA"/>
        </w:rPr>
      </w:pPr>
      <w:r w:rsidRPr="00AA2C0C">
        <w:rPr>
          <w:b/>
          <w:lang w:val="en-CA"/>
        </w:rPr>
        <w:t>PROFESSIONAL ACTIVITIES</w:t>
      </w:r>
    </w:p>
    <w:p w14:paraId="3ECB65BE" w14:textId="02DF4715" w:rsidR="006D0688" w:rsidRPr="00A664D1" w:rsidRDefault="006D0688" w:rsidP="00A664D1">
      <w:pPr>
        <w:pStyle w:val="Paragraphedeliste"/>
        <w:numPr>
          <w:ilvl w:val="0"/>
          <w:numId w:val="3"/>
        </w:numPr>
        <w:spacing w:after="0" w:line="240" w:lineRule="auto"/>
        <w:rPr>
          <w:bCs/>
          <w:lang w:val="en-CA"/>
        </w:rPr>
      </w:pPr>
      <w:r w:rsidRPr="00A664D1">
        <w:rPr>
          <w:bCs/>
          <w:lang w:val="en-CA"/>
        </w:rPr>
        <w:t>McGill University, Faculty of Law, co-coach of the team participating at Willem C. Vis International Commercial Arbitration Moot (2018-)</w:t>
      </w:r>
    </w:p>
    <w:p w14:paraId="1C0B0CEE" w14:textId="77777777" w:rsidR="006D0688" w:rsidRPr="00A664D1" w:rsidRDefault="006D0688" w:rsidP="00A664D1">
      <w:pPr>
        <w:pStyle w:val="Paragraphedeliste"/>
        <w:numPr>
          <w:ilvl w:val="0"/>
          <w:numId w:val="3"/>
        </w:numPr>
        <w:spacing w:after="0" w:line="240" w:lineRule="auto"/>
        <w:rPr>
          <w:bCs/>
          <w:lang w:val="en-CA"/>
        </w:rPr>
      </w:pPr>
      <w:r w:rsidRPr="00A664D1">
        <w:rPr>
          <w:bCs/>
          <w:lang w:val="en-CA"/>
        </w:rPr>
        <w:t>Centre de développement pour l’exercice de la citoyenneté (CDEC), member of the Board of Directors (2013-)</w:t>
      </w:r>
    </w:p>
    <w:p w14:paraId="6EFBD74E" w14:textId="77777777" w:rsidR="006D0688" w:rsidRPr="00AA2C0C" w:rsidRDefault="006D0688" w:rsidP="00A664D1">
      <w:pPr>
        <w:pStyle w:val="Paragraphedeliste"/>
        <w:numPr>
          <w:ilvl w:val="0"/>
          <w:numId w:val="3"/>
        </w:numPr>
        <w:spacing w:after="0" w:line="240" w:lineRule="auto"/>
        <w:rPr>
          <w:bCs/>
          <w:lang w:val="en-CA"/>
        </w:rPr>
      </w:pPr>
      <w:r w:rsidRPr="00AA2C0C">
        <w:rPr>
          <w:bCs/>
          <w:lang w:val="en-CA"/>
        </w:rPr>
        <w:t>Member of the executive committee of the International section of the Canadian Bar Association – Québec Branch (2013-2019).</w:t>
      </w:r>
    </w:p>
    <w:p w14:paraId="4E7FCB2A" w14:textId="77777777" w:rsidR="006D0688" w:rsidRPr="00AA2C0C" w:rsidRDefault="006D0688" w:rsidP="00A664D1">
      <w:pPr>
        <w:pStyle w:val="Paragraphedeliste"/>
        <w:numPr>
          <w:ilvl w:val="0"/>
          <w:numId w:val="3"/>
        </w:numPr>
        <w:spacing w:after="0" w:line="240" w:lineRule="auto"/>
        <w:rPr>
          <w:bCs/>
          <w:lang w:val="en-CA"/>
        </w:rPr>
      </w:pPr>
      <w:r w:rsidRPr="00AA2C0C">
        <w:rPr>
          <w:bCs/>
          <w:lang w:val="en-CA"/>
        </w:rPr>
        <w:t>Co-lecturer at McGill University, Faculty of Engineering, « Law for Architects and Engineers » (2012-2017).</w:t>
      </w:r>
    </w:p>
    <w:p w14:paraId="17A1DF9B" w14:textId="77777777" w:rsidR="006D0688" w:rsidRPr="00AA2C0C" w:rsidRDefault="006D0688" w:rsidP="00A664D1">
      <w:pPr>
        <w:pStyle w:val="Paragraphedeliste"/>
        <w:numPr>
          <w:ilvl w:val="0"/>
          <w:numId w:val="3"/>
        </w:numPr>
        <w:spacing w:after="0" w:line="240" w:lineRule="auto"/>
        <w:rPr>
          <w:bCs/>
          <w:lang w:val="en-CA"/>
        </w:rPr>
      </w:pPr>
      <w:r w:rsidRPr="00AA2C0C">
        <w:rPr>
          <w:bCs/>
          <w:lang w:val="en-CA"/>
        </w:rPr>
        <w:t>McGill Legal Information Clinic, Research Director and member of the Board of Directors (2008-2009).</w:t>
      </w:r>
    </w:p>
    <w:p w14:paraId="380BEC84" w14:textId="77777777" w:rsidR="006D0688" w:rsidRPr="00AA2C0C" w:rsidRDefault="006D0688" w:rsidP="00A664D1">
      <w:pPr>
        <w:pStyle w:val="Paragraphedeliste"/>
        <w:numPr>
          <w:ilvl w:val="0"/>
          <w:numId w:val="3"/>
        </w:numPr>
        <w:spacing w:after="0" w:line="240" w:lineRule="auto"/>
        <w:rPr>
          <w:bCs/>
          <w:lang w:val="en-CA"/>
        </w:rPr>
      </w:pPr>
      <w:r w:rsidRPr="00AA2C0C">
        <w:rPr>
          <w:bCs/>
          <w:lang w:val="en-CA"/>
        </w:rPr>
        <w:t>Quebec Research Centre of Private and Comparative Law, Researcher and member of the Board of Directors.</w:t>
      </w:r>
    </w:p>
    <w:p w14:paraId="3C7D4810" w14:textId="77777777" w:rsidR="006D0688" w:rsidRDefault="006D0688" w:rsidP="006D0688">
      <w:pPr>
        <w:spacing w:after="0" w:line="240" w:lineRule="auto"/>
        <w:rPr>
          <w:bCs/>
          <w:lang w:val="en-CA"/>
        </w:rPr>
      </w:pPr>
    </w:p>
    <w:p w14:paraId="2D426BED" w14:textId="77777777" w:rsidR="006D0688" w:rsidRPr="00AA2C0C" w:rsidRDefault="006D0688" w:rsidP="006D0688">
      <w:pPr>
        <w:spacing w:after="0" w:line="240" w:lineRule="auto"/>
        <w:rPr>
          <w:b/>
          <w:lang w:val="en-CA"/>
        </w:rPr>
      </w:pPr>
      <w:r w:rsidRPr="00AA2C0C">
        <w:rPr>
          <w:b/>
          <w:lang w:val="en-CA"/>
        </w:rPr>
        <w:t>ASSOCIATIONS</w:t>
      </w:r>
    </w:p>
    <w:p w14:paraId="68331BF7" w14:textId="77777777" w:rsidR="006D0688" w:rsidRPr="00AA2C0C" w:rsidRDefault="006D0688" w:rsidP="00A664D1">
      <w:pPr>
        <w:pStyle w:val="Paragraphedeliste"/>
        <w:numPr>
          <w:ilvl w:val="0"/>
          <w:numId w:val="3"/>
        </w:numPr>
        <w:spacing w:after="0" w:line="240" w:lineRule="auto"/>
        <w:rPr>
          <w:bCs/>
          <w:lang w:val="en-CA"/>
        </w:rPr>
      </w:pPr>
      <w:r w:rsidRPr="00AA2C0C">
        <w:rPr>
          <w:bCs/>
          <w:lang w:val="en-CA"/>
        </w:rPr>
        <w:t>ICC Canada, member of the Arbitration Committee (2019-)</w:t>
      </w:r>
    </w:p>
    <w:p w14:paraId="0BC4CDC4" w14:textId="77777777" w:rsidR="006D0688" w:rsidRPr="00AA2C0C" w:rsidRDefault="006D0688" w:rsidP="00A664D1">
      <w:pPr>
        <w:pStyle w:val="Paragraphedeliste"/>
        <w:numPr>
          <w:ilvl w:val="0"/>
          <w:numId w:val="3"/>
        </w:numPr>
        <w:spacing w:after="0" w:line="240" w:lineRule="auto"/>
        <w:rPr>
          <w:bCs/>
          <w:lang w:val="en-CA"/>
        </w:rPr>
      </w:pPr>
      <w:r w:rsidRPr="00AA2C0C">
        <w:rPr>
          <w:bCs/>
          <w:lang w:val="en-CA"/>
        </w:rPr>
        <w:t>Young Canadian Arbitration Practitioners (YCAP), member of the Board of Directors (2018-)</w:t>
      </w:r>
      <w:r w:rsidRPr="00A664D1">
        <w:rPr>
          <w:bCs/>
          <w:lang w:val="en-CA"/>
        </w:rPr>
        <w:t xml:space="preserve"> and Vice-President – Events (2021-)</w:t>
      </w:r>
    </w:p>
    <w:p w14:paraId="013B7448" w14:textId="77777777" w:rsidR="006D0688" w:rsidRPr="00AA2C0C" w:rsidRDefault="006D0688" w:rsidP="006D0688">
      <w:pPr>
        <w:spacing w:after="0" w:line="240" w:lineRule="auto"/>
        <w:rPr>
          <w:bCs/>
        </w:rPr>
      </w:pPr>
    </w:p>
    <w:tbl>
      <w:tblPr>
        <w:tblStyle w:val="Grilledutableau"/>
        <w:tblW w:w="0" w:type="auto"/>
        <w:tblLook w:val="04A0" w:firstRow="1" w:lastRow="0" w:firstColumn="1" w:lastColumn="0" w:noHBand="0" w:noVBand="1"/>
      </w:tblPr>
      <w:tblGrid>
        <w:gridCol w:w="8640"/>
      </w:tblGrid>
      <w:tr w:rsidR="006D0688" w:rsidRPr="00A03949" w14:paraId="575CB7B9" w14:textId="77777777" w:rsidTr="00B925C5">
        <w:tc>
          <w:tcPr>
            <w:tcW w:w="8780" w:type="dxa"/>
            <w:tcBorders>
              <w:top w:val="nil"/>
              <w:left w:val="nil"/>
              <w:bottom w:val="nil"/>
              <w:right w:val="nil"/>
            </w:tcBorders>
            <w:shd w:val="clear" w:color="auto" w:fill="084439"/>
          </w:tcPr>
          <w:p w14:paraId="60E8A05B" w14:textId="77777777" w:rsidR="006D0688" w:rsidRPr="00A03949" w:rsidRDefault="006D0688" w:rsidP="006D0688">
            <w:pPr>
              <w:spacing w:after="0" w:line="240" w:lineRule="auto"/>
              <w:rPr>
                <w:b/>
              </w:rPr>
            </w:pPr>
            <w:r>
              <w:rPr>
                <w:b/>
              </w:rPr>
              <w:t>EDUCATION</w:t>
            </w:r>
          </w:p>
        </w:tc>
      </w:tr>
    </w:tbl>
    <w:p w14:paraId="1B011265" w14:textId="77777777" w:rsidR="006D0688" w:rsidRDefault="006D0688" w:rsidP="006D0688">
      <w:pPr>
        <w:spacing w:after="0" w:line="240" w:lineRule="auto"/>
        <w:jc w:val="both"/>
      </w:pPr>
    </w:p>
    <w:p w14:paraId="132B6C89" w14:textId="77777777" w:rsidR="006D0688" w:rsidRPr="0038148B" w:rsidRDefault="006D0688" w:rsidP="006D0688">
      <w:pPr>
        <w:spacing w:after="0" w:line="240" w:lineRule="auto"/>
        <w:jc w:val="both"/>
        <w:rPr>
          <w:b/>
          <w:lang w:val="en-CA"/>
        </w:rPr>
      </w:pPr>
      <w:r w:rsidRPr="0038148B">
        <w:rPr>
          <w:lang w:val="en-CA"/>
        </w:rPr>
        <w:t xml:space="preserve">2009   </w:t>
      </w:r>
      <w:r w:rsidRPr="0038148B">
        <w:rPr>
          <w:b/>
          <w:lang w:val="en-CA"/>
        </w:rPr>
        <w:t xml:space="preserve">     McGill University, Faculty of Law</w:t>
      </w:r>
    </w:p>
    <w:p w14:paraId="03EF6DF5" w14:textId="77777777" w:rsidR="006D0688" w:rsidRPr="0038148B" w:rsidRDefault="006D0688" w:rsidP="006D0688">
      <w:pPr>
        <w:spacing w:after="0" w:line="240" w:lineRule="auto"/>
        <w:jc w:val="both"/>
        <w:rPr>
          <w:lang w:val="en-CA"/>
        </w:rPr>
      </w:pPr>
      <w:r w:rsidRPr="0038148B">
        <w:rPr>
          <w:lang w:val="en-CA"/>
        </w:rPr>
        <w:t>B.C.L./LL.B.</w:t>
      </w:r>
    </w:p>
    <w:p w14:paraId="135A0D99" w14:textId="77777777" w:rsidR="006D0688" w:rsidRPr="0038148B" w:rsidRDefault="006D0688" w:rsidP="006D0688">
      <w:pPr>
        <w:spacing w:after="0" w:line="240" w:lineRule="auto"/>
        <w:jc w:val="both"/>
        <w:rPr>
          <w:b/>
          <w:lang w:val="en-CA"/>
        </w:rPr>
      </w:pPr>
      <w:r w:rsidRPr="0038148B">
        <w:rPr>
          <w:lang w:val="en-CA"/>
        </w:rPr>
        <w:t xml:space="preserve">2009   </w:t>
      </w:r>
      <w:r w:rsidRPr="0038148B">
        <w:rPr>
          <w:b/>
          <w:lang w:val="en-CA"/>
        </w:rPr>
        <w:t xml:space="preserve">     Quebec Court of Appeal</w:t>
      </w:r>
    </w:p>
    <w:p w14:paraId="00C865E7" w14:textId="77777777" w:rsidR="006D0688" w:rsidRDefault="006D0688" w:rsidP="006D0688">
      <w:pPr>
        <w:spacing w:after="0" w:line="240" w:lineRule="auto"/>
        <w:jc w:val="both"/>
        <w:rPr>
          <w:lang w:val="en-CA"/>
        </w:rPr>
      </w:pPr>
      <w:r w:rsidRPr="0038148B">
        <w:rPr>
          <w:lang w:val="en-CA"/>
        </w:rPr>
        <w:t xml:space="preserve">University student clerkship, with Justices André Forget and André Brossard </w:t>
      </w:r>
    </w:p>
    <w:p w14:paraId="22F9EEB1" w14:textId="77777777" w:rsidR="006D0688" w:rsidRDefault="006D0688" w:rsidP="006D0688">
      <w:pPr>
        <w:spacing w:after="0" w:line="240" w:lineRule="auto"/>
        <w:jc w:val="both"/>
        <w:rPr>
          <w:lang w:val="en-CA"/>
        </w:rPr>
      </w:pPr>
    </w:p>
    <w:p w14:paraId="6946B060" w14:textId="77777777" w:rsidR="006D0688" w:rsidRPr="0038148B" w:rsidRDefault="006D0688" w:rsidP="006D0688">
      <w:pPr>
        <w:spacing w:after="0" w:line="240" w:lineRule="auto"/>
        <w:jc w:val="both"/>
        <w:rPr>
          <w:b/>
          <w:lang w:val="en-CA"/>
        </w:rPr>
      </w:pPr>
      <w:r w:rsidRPr="0038148B">
        <w:rPr>
          <w:lang w:val="en-CA"/>
        </w:rPr>
        <w:t xml:space="preserve">2005 </w:t>
      </w:r>
      <w:r w:rsidRPr="0038148B">
        <w:rPr>
          <w:b/>
          <w:lang w:val="en-CA"/>
        </w:rPr>
        <w:t xml:space="preserve">       McGill University, Faculty of Arts</w:t>
      </w:r>
    </w:p>
    <w:p w14:paraId="57E9416E" w14:textId="29ACCC7D" w:rsidR="006D0688" w:rsidRPr="0038148B" w:rsidRDefault="00A664D1" w:rsidP="006D0688">
      <w:pPr>
        <w:spacing w:after="0" w:line="240" w:lineRule="auto"/>
        <w:jc w:val="both"/>
        <w:rPr>
          <w:lang w:val="en-CA"/>
        </w:rPr>
      </w:pPr>
      <w:r>
        <w:rPr>
          <w:lang w:val="en-CA"/>
        </w:rPr>
        <w:t xml:space="preserve">B.A., </w:t>
      </w:r>
      <w:r w:rsidR="006D0688" w:rsidRPr="0038148B">
        <w:rPr>
          <w:lang w:val="en-CA"/>
        </w:rPr>
        <w:t>Honours in Philosophy, 1st rank honours</w:t>
      </w:r>
    </w:p>
    <w:p w14:paraId="2A80065C" w14:textId="2D9B1AE3" w:rsidR="006D0688" w:rsidRDefault="006D0688" w:rsidP="006D0688">
      <w:pPr>
        <w:spacing w:after="0" w:line="240" w:lineRule="auto"/>
        <w:jc w:val="both"/>
        <w:rPr>
          <w:lang w:val="en-CA"/>
        </w:rPr>
      </w:pPr>
      <w:r w:rsidRPr="0038148B">
        <w:rPr>
          <w:lang w:val="en-CA"/>
        </w:rPr>
        <w:t>Minors in Political Economy and Theoretical Linguistics</w:t>
      </w:r>
    </w:p>
    <w:p w14:paraId="32632FA3" w14:textId="77777777" w:rsidR="00CB3544" w:rsidRPr="0038148B" w:rsidRDefault="00CB3544" w:rsidP="006D0688">
      <w:pPr>
        <w:spacing w:after="0" w:line="240" w:lineRule="auto"/>
        <w:jc w:val="both"/>
        <w:rPr>
          <w:lang w:val="en-CA"/>
        </w:rPr>
      </w:pPr>
    </w:p>
    <w:p w14:paraId="0C80B265" w14:textId="77777777" w:rsidR="006D0688" w:rsidRPr="0038148B" w:rsidRDefault="006D0688" w:rsidP="006D0688">
      <w:pPr>
        <w:spacing w:after="0" w:line="240" w:lineRule="auto"/>
        <w:rPr>
          <w:lang w:val="en-CA"/>
        </w:rPr>
      </w:pPr>
    </w:p>
    <w:tbl>
      <w:tblPr>
        <w:tblStyle w:val="Grilledutableau"/>
        <w:tblW w:w="0" w:type="auto"/>
        <w:shd w:val="clear" w:color="auto" w:fill="084439"/>
        <w:tblLook w:val="04A0" w:firstRow="1" w:lastRow="0" w:firstColumn="1" w:lastColumn="0" w:noHBand="0" w:noVBand="1"/>
      </w:tblPr>
      <w:tblGrid>
        <w:gridCol w:w="8640"/>
      </w:tblGrid>
      <w:tr w:rsidR="006D0688" w:rsidRPr="00A03949" w14:paraId="3821E687" w14:textId="77777777" w:rsidTr="00B925C5">
        <w:tc>
          <w:tcPr>
            <w:tcW w:w="8780" w:type="dxa"/>
            <w:tcBorders>
              <w:top w:val="nil"/>
              <w:left w:val="nil"/>
              <w:bottom w:val="nil"/>
              <w:right w:val="nil"/>
            </w:tcBorders>
            <w:shd w:val="clear" w:color="auto" w:fill="084439"/>
          </w:tcPr>
          <w:p w14:paraId="40487E4B" w14:textId="77777777" w:rsidR="006D0688" w:rsidRPr="00A03949" w:rsidRDefault="006D0688" w:rsidP="006D0688">
            <w:pPr>
              <w:spacing w:after="0" w:line="240" w:lineRule="auto"/>
              <w:rPr>
                <w:b/>
              </w:rPr>
            </w:pPr>
            <w:r>
              <w:rPr>
                <w:b/>
              </w:rPr>
              <w:t>PUBLICATIONS ET CONFE</w:t>
            </w:r>
            <w:r w:rsidRPr="00A03949">
              <w:rPr>
                <w:b/>
              </w:rPr>
              <w:t>RENCES</w:t>
            </w:r>
          </w:p>
        </w:tc>
      </w:tr>
    </w:tbl>
    <w:p w14:paraId="0795965F" w14:textId="77777777" w:rsidR="006D0688" w:rsidRDefault="006D0688" w:rsidP="006D0688">
      <w:pPr>
        <w:pStyle w:val="NormalWeb"/>
        <w:spacing w:before="0" w:beforeAutospacing="0" w:after="0" w:afterAutospacing="0"/>
        <w:ind w:left="720"/>
        <w:textAlignment w:val="top"/>
        <w:rPr>
          <w:rFonts w:asciiTheme="minorHAnsi" w:hAnsiTheme="minorHAnsi" w:cstheme="minorHAnsi"/>
          <w:color w:val="363D3A"/>
          <w:sz w:val="22"/>
          <w:szCs w:val="22"/>
          <w:lang w:val="en-CA"/>
        </w:rPr>
      </w:pPr>
    </w:p>
    <w:p w14:paraId="10B67F60" w14:textId="4A1996FE" w:rsidR="006D0688" w:rsidRDefault="006D0688" w:rsidP="006D0688">
      <w:pPr>
        <w:pStyle w:val="NormalWeb"/>
        <w:numPr>
          <w:ilvl w:val="0"/>
          <w:numId w:val="1"/>
        </w:numPr>
        <w:spacing w:before="0" w:beforeAutospacing="0" w:after="0" w:afterAutospacing="0"/>
        <w:rPr>
          <w:rFonts w:asciiTheme="minorHAnsi" w:eastAsiaTheme="minorEastAsia" w:hAnsiTheme="minorHAnsi" w:cstheme="minorBidi"/>
          <w:color w:val="363D3A"/>
          <w:sz w:val="22"/>
          <w:szCs w:val="22"/>
          <w:lang w:val="en-CA"/>
        </w:rPr>
      </w:pPr>
      <w:r w:rsidRPr="77A4ED3F">
        <w:rPr>
          <w:rFonts w:asciiTheme="minorHAnsi" w:hAnsiTheme="minorHAnsi" w:cstheme="minorBidi"/>
          <w:color w:val="363D3A"/>
          <w:sz w:val="22"/>
          <w:szCs w:val="22"/>
          <w:lang w:val="en-CA"/>
        </w:rPr>
        <w:t>Canada chapter in </w:t>
      </w:r>
      <w:hyperlink r:id="rId8" w:history="1">
        <w:r w:rsidRPr="00A664D1">
          <w:rPr>
            <w:rStyle w:val="Lienhypertexte"/>
            <w:rFonts w:asciiTheme="minorHAnsi" w:hAnsiTheme="minorHAnsi" w:cstheme="minorBidi"/>
            <w:sz w:val="22"/>
            <w:szCs w:val="22"/>
            <w:lang w:val="en-CA"/>
          </w:rPr>
          <w:t>Enforcement of Investment Treaty Arbitration Awards – A Global Guide, Second Edition</w:t>
        </w:r>
      </w:hyperlink>
      <w:r w:rsidRPr="77A4ED3F">
        <w:rPr>
          <w:rFonts w:asciiTheme="minorHAnsi" w:hAnsiTheme="minorHAnsi" w:cstheme="minorBidi"/>
          <w:color w:val="363D3A"/>
          <w:sz w:val="22"/>
          <w:szCs w:val="22"/>
          <w:lang w:val="en-CA"/>
        </w:rPr>
        <w:t>, ed. Julien Fouret, Castaldi Mourre &amp; Partners, Globe Law, 2020, co-authored with Stephen L. Drymer.</w:t>
      </w:r>
    </w:p>
    <w:p w14:paraId="44413694" w14:textId="77777777" w:rsidR="006D0688" w:rsidRPr="001C5D5C" w:rsidRDefault="006D0688" w:rsidP="006D0688">
      <w:pPr>
        <w:pStyle w:val="NormalWeb"/>
        <w:numPr>
          <w:ilvl w:val="0"/>
          <w:numId w:val="1"/>
        </w:numPr>
        <w:spacing w:before="0" w:beforeAutospacing="0" w:after="0" w:afterAutospacing="0"/>
        <w:textAlignment w:val="top"/>
        <w:rPr>
          <w:rFonts w:asciiTheme="minorHAnsi" w:hAnsiTheme="minorHAnsi" w:cstheme="minorBidi"/>
          <w:color w:val="363D3A"/>
          <w:sz w:val="22"/>
          <w:szCs w:val="22"/>
          <w:lang w:val="en-CA"/>
        </w:rPr>
      </w:pPr>
      <w:r w:rsidRPr="77A4ED3F">
        <w:rPr>
          <w:rFonts w:asciiTheme="minorHAnsi" w:hAnsiTheme="minorHAnsi" w:cstheme="minorBidi"/>
          <w:color w:val="363D3A"/>
          <w:sz w:val="22"/>
          <w:szCs w:val="22"/>
          <w:lang w:val="en-CA"/>
        </w:rPr>
        <w:t>Canada Chapter in the </w:t>
      </w:r>
      <w:r w:rsidRPr="77A4ED3F">
        <w:rPr>
          <w:rStyle w:val="Accentuation"/>
          <w:rFonts w:asciiTheme="minorHAnsi" w:hAnsiTheme="minorHAnsi" w:cstheme="minorBidi"/>
          <w:color w:val="363D3A"/>
          <w:sz w:val="22"/>
          <w:szCs w:val="22"/>
          <w:bdr w:val="none" w:sz="0" w:space="0" w:color="auto" w:frame="1"/>
          <w:lang w:val="en-CA"/>
        </w:rPr>
        <w:t>International Arbitration Review</w:t>
      </w:r>
      <w:r w:rsidRPr="77A4ED3F">
        <w:rPr>
          <w:rFonts w:asciiTheme="minorHAnsi" w:hAnsiTheme="minorHAnsi" w:cstheme="minorBidi"/>
          <w:color w:val="363D3A"/>
          <w:sz w:val="22"/>
          <w:szCs w:val="22"/>
          <w:lang w:val="en-CA"/>
        </w:rPr>
        <w:t>, ed. James H. Carter, Eleventh Edition, 2020, co-authored with James A. Woods, Dina Prokic, and Charbel G. Abi-Saad</w:t>
      </w:r>
    </w:p>
    <w:p w14:paraId="14D7A828" w14:textId="77777777" w:rsidR="006D0688" w:rsidRPr="001C5D5C" w:rsidRDefault="006D0688" w:rsidP="006D0688">
      <w:pPr>
        <w:pStyle w:val="NormalWeb"/>
        <w:numPr>
          <w:ilvl w:val="0"/>
          <w:numId w:val="1"/>
        </w:numPr>
        <w:spacing w:before="0" w:beforeAutospacing="0" w:after="0" w:afterAutospacing="0"/>
        <w:textAlignment w:val="top"/>
        <w:rPr>
          <w:rFonts w:asciiTheme="minorHAnsi" w:hAnsiTheme="minorHAnsi" w:cstheme="minorHAnsi"/>
          <w:color w:val="363D3A"/>
          <w:sz w:val="22"/>
          <w:szCs w:val="22"/>
          <w:lang w:val="en-CA"/>
        </w:rPr>
      </w:pPr>
      <w:r w:rsidRPr="001C5D5C">
        <w:rPr>
          <w:rFonts w:asciiTheme="minorHAnsi" w:hAnsiTheme="minorHAnsi" w:cstheme="minorHAnsi"/>
          <w:color w:val="363D3A"/>
          <w:sz w:val="22"/>
          <w:szCs w:val="22"/>
          <w:lang w:val="en-CA"/>
        </w:rPr>
        <w:t>“</w:t>
      </w:r>
      <w:hyperlink r:id="rId9" w:history="1">
        <w:r w:rsidRPr="001C5D5C">
          <w:rPr>
            <w:rStyle w:val="Lienhypertexte"/>
            <w:rFonts w:asciiTheme="minorHAnsi" w:hAnsiTheme="minorHAnsi" w:cstheme="minorHAnsi"/>
            <w:sz w:val="22"/>
            <w:szCs w:val="22"/>
            <w:bdr w:val="none" w:sz="0" w:space="0" w:color="auto" w:frame="1"/>
            <w:lang w:val="en-CA"/>
          </w:rPr>
          <w:t>The Contribution of Canadian Law to International Mining Arbitration</w:t>
        </w:r>
      </w:hyperlink>
      <w:r w:rsidRPr="001C5D5C">
        <w:rPr>
          <w:rFonts w:asciiTheme="minorHAnsi" w:hAnsiTheme="minorHAnsi" w:cstheme="minorHAnsi"/>
          <w:color w:val="363D3A"/>
          <w:sz w:val="22"/>
          <w:szCs w:val="22"/>
          <w:lang w:val="en-CA"/>
        </w:rPr>
        <w:t>” in The Guide to Mining Arbitration, ed. Jason Fry and Louis-Alexis Bret, Global Arbitration Review, October 2019.</w:t>
      </w:r>
    </w:p>
    <w:p w14:paraId="305AB896" w14:textId="77777777" w:rsidR="006D0688" w:rsidRPr="001C5D5C" w:rsidRDefault="006D0688" w:rsidP="006D0688">
      <w:pPr>
        <w:pStyle w:val="NormalWeb"/>
        <w:numPr>
          <w:ilvl w:val="0"/>
          <w:numId w:val="1"/>
        </w:numPr>
        <w:spacing w:before="0" w:beforeAutospacing="0" w:after="0" w:afterAutospacing="0"/>
        <w:textAlignment w:val="top"/>
        <w:rPr>
          <w:rFonts w:asciiTheme="minorHAnsi" w:hAnsiTheme="minorHAnsi" w:cstheme="minorHAnsi"/>
          <w:color w:val="363D3A"/>
          <w:sz w:val="22"/>
          <w:szCs w:val="22"/>
        </w:rPr>
      </w:pPr>
      <w:r w:rsidRPr="001C5D5C">
        <w:rPr>
          <w:rFonts w:asciiTheme="minorHAnsi" w:hAnsiTheme="minorHAnsi" w:cstheme="minorHAnsi"/>
          <w:color w:val="363D3A"/>
          <w:sz w:val="22"/>
          <w:szCs w:val="22"/>
        </w:rPr>
        <w:t>« Les accords commerciaux globaux et la modernisation de l’ALÉNA », panelist on the Investment Chapter (Chicago, Montreal, Guadalajara).</w:t>
      </w:r>
    </w:p>
    <w:p w14:paraId="236812DC" w14:textId="77777777" w:rsidR="006D0688" w:rsidRPr="001C5D5C" w:rsidRDefault="006D0688" w:rsidP="006D0688">
      <w:pPr>
        <w:pStyle w:val="NormalWeb"/>
        <w:numPr>
          <w:ilvl w:val="0"/>
          <w:numId w:val="1"/>
        </w:numPr>
        <w:spacing w:before="0" w:beforeAutospacing="0" w:after="0" w:afterAutospacing="0"/>
        <w:textAlignment w:val="top"/>
        <w:rPr>
          <w:rFonts w:asciiTheme="minorHAnsi" w:hAnsiTheme="minorHAnsi" w:cstheme="minorHAnsi"/>
          <w:color w:val="363D3A"/>
          <w:sz w:val="22"/>
          <w:szCs w:val="22"/>
          <w:lang w:val="en-CA"/>
        </w:rPr>
      </w:pPr>
      <w:r w:rsidRPr="001C5D5C">
        <w:rPr>
          <w:rFonts w:asciiTheme="minorHAnsi" w:hAnsiTheme="minorHAnsi" w:cstheme="minorHAnsi"/>
          <w:color w:val="363D3A"/>
          <w:sz w:val="22"/>
          <w:szCs w:val="22"/>
          <w:lang w:val="en-CA"/>
        </w:rPr>
        <w:lastRenderedPageBreak/>
        <w:t>“Canada-Québec – Dispute Resolution”, in Getting the Deal Through, july 2018, as co-author with James A. Woods and Marie-Louise Delisle.</w:t>
      </w:r>
    </w:p>
    <w:p w14:paraId="6AA83685" w14:textId="77777777" w:rsidR="006D0688" w:rsidRPr="001C5D5C" w:rsidRDefault="00512568" w:rsidP="006D0688">
      <w:pPr>
        <w:pStyle w:val="NormalWeb"/>
        <w:numPr>
          <w:ilvl w:val="0"/>
          <w:numId w:val="1"/>
        </w:numPr>
        <w:spacing w:before="0" w:beforeAutospacing="0" w:after="0" w:afterAutospacing="0"/>
        <w:textAlignment w:val="top"/>
        <w:rPr>
          <w:rFonts w:asciiTheme="minorHAnsi" w:hAnsiTheme="minorHAnsi" w:cstheme="minorHAnsi"/>
          <w:color w:val="363D3A"/>
          <w:sz w:val="22"/>
          <w:szCs w:val="22"/>
        </w:rPr>
      </w:pPr>
      <w:hyperlink r:id="rId10" w:history="1">
        <w:r w:rsidR="006D0688" w:rsidRPr="001C5D5C">
          <w:rPr>
            <w:rStyle w:val="Lienhypertexte"/>
            <w:rFonts w:asciiTheme="minorHAnsi" w:hAnsiTheme="minorHAnsi" w:cstheme="minorHAnsi"/>
            <w:sz w:val="22"/>
            <w:szCs w:val="22"/>
            <w:bdr w:val="none" w:sz="0" w:space="0" w:color="auto" w:frame="1"/>
          </w:rPr>
          <w:t>« </w:t>
        </w:r>
      </w:hyperlink>
      <w:hyperlink r:id="rId11" w:history="1">
        <w:r w:rsidR="006D0688" w:rsidRPr="001C5D5C">
          <w:rPr>
            <w:rStyle w:val="Lienhypertexte"/>
            <w:rFonts w:asciiTheme="minorHAnsi" w:hAnsiTheme="minorHAnsi" w:cstheme="minorHAnsi"/>
            <w:sz w:val="22"/>
            <w:szCs w:val="22"/>
            <w:bdr w:val="none" w:sz="0" w:space="0" w:color="auto" w:frame="1"/>
          </w:rPr>
          <w:t>Secret professionnel de l’avocat et transaction commerciale complexe : un privilège relatif aux négociations?</w:t>
        </w:r>
      </w:hyperlink>
      <w:hyperlink r:id="rId12" w:history="1">
        <w:r w:rsidR="006D0688" w:rsidRPr="001C5D5C">
          <w:rPr>
            <w:rStyle w:val="Lienhypertexte"/>
            <w:rFonts w:asciiTheme="minorHAnsi" w:hAnsiTheme="minorHAnsi" w:cstheme="minorHAnsi"/>
            <w:sz w:val="22"/>
            <w:szCs w:val="22"/>
            <w:bdr w:val="none" w:sz="0" w:space="0" w:color="auto" w:frame="1"/>
          </w:rPr>
          <w:t> </w:t>
        </w:r>
      </w:hyperlink>
      <w:r w:rsidR="006D0688" w:rsidRPr="001C5D5C">
        <w:rPr>
          <w:rFonts w:asciiTheme="minorHAnsi" w:hAnsiTheme="minorHAnsi" w:cstheme="minorHAnsi"/>
          <w:color w:val="363D3A"/>
          <w:sz w:val="22"/>
          <w:szCs w:val="22"/>
        </w:rPr>
        <w:t>» in </w:t>
      </w:r>
      <w:r w:rsidR="006D0688" w:rsidRPr="001C5D5C">
        <w:rPr>
          <w:rStyle w:val="Accentuation"/>
          <w:rFonts w:asciiTheme="minorHAnsi" w:hAnsiTheme="minorHAnsi" w:cstheme="minorHAnsi"/>
          <w:color w:val="363D3A"/>
          <w:sz w:val="22"/>
          <w:szCs w:val="22"/>
          <w:bdr w:val="none" w:sz="0" w:space="0" w:color="auto" w:frame="1"/>
        </w:rPr>
        <w:t>Développements récents en droit des affaires</w:t>
      </w:r>
      <w:r w:rsidR="006D0688" w:rsidRPr="001C5D5C">
        <w:rPr>
          <w:rFonts w:asciiTheme="minorHAnsi" w:hAnsiTheme="minorHAnsi" w:cstheme="minorHAnsi"/>
          <w:color w:val="363D3A"/>
          <w:sz w:val="22"/>
          <w:szCs w:val="22"/>
        </w:rPr>
        <w:t>, vol. 371, Yvon Blais, 2013, as co-author with James A. Woods.</w:t>
      </w:r>
    </w:p>
    <w:p w14:paraId="5588E763" w14:textId="17941CD6" w:rsidR="00366085" w:rsidRPr="00A664D1" w:rsidRDefault="006D0688" w:rsidP="006D0688">
      <w:pPr>
        <w:pStyle w:val="NormalWeb"/>
        <w:numPr>
          <w:ilvl w:val="0"/>
          <w:numId w:val="1"/>
        </w:numPr>
        <w:spacing w:before="0" w:beforeAutospacing="0" w:after="0" w:afterAutospacing="0"/>
        <w:textAlignment w:val="top"/>
        <w:rPr>
          <w:rFonts w:asciiTheme="minorHAnsi" w:hAnsiTheme="minorHAnsi" w:cstheme="minorHAnsi"/>
          <w:color w:val="363D3A"/>
          <w:sz w:val="22"/>
          <w:szCs w:val="22"/>
          <w:lang w:val="en-CA"/>
        </w:rPr>
      </w:pPr>
      <w:r w:rsidRPr="001C5D5C">
        <w:rPr>
          <w:rFonts w:asciiTheme="minorHAnsi" w:hAnsiTheme="minorHAnsi" w:cstheme="minorHAnsi"/>
          <w:color w:val="363D3A"/>
          <w:sz w:val="22"/>
          <w:szCs w:val="22"/>
          <w:u w:val="single"/>
          <w:bdr w:val="none" w:sz="0" w:space="0" w:color="auto" w:frame="1"/>
          <w:lang w:val="en-CA"/>
        </w:rPr>
        <w:t>“</w:t>
      </w:r>
      <w:hyperlink r:id="rId13" w:history="1">
        <w:r w:rsidRPr="001C5D5C">
          <w:rPr>
            <w:rStyle w:val="Lienhypertexte"/>
            <w:rFonts w:asciiTheme="minorHAnsi" w:hAnsiTheme="minorHAnsi" w:cstheme="minorHAnsi"/>
            <w:sz w:val="22"/>
            <w:szCs w:val="22"/>
            <w:bdr w:val="none" w:sz="0" w:space="0" w:color="auto" w:frame="1"/>
            <w:lang w:val="en-CA"/>
          </w:rPr>
          <w:t>The Process of a Typical Commercial Case - Canada (Québec)</w:t>
        </w:r>
      </w:hyperlink>
      <w:r w:rsidRPr="001C5D5C">
        <w:rPr>
          <w:rFonts w:asciiTheme="minorHAnsi" w:hAnsiTheme="minorHAnsi" w:cstheme="minorHAnsi"/>
          <w:color w:val="363D3A"/>
          <w:sz w:val="22"/>
          <w:szCs w:val="22"/>
          <w:lang w:val="en-CA"/>
        </w:rPr>
        <w:t>” in </w:t>
      </w:r>
      <w:r w:rsidRPr="001C5D5C">
        <w:rPr>
          <w:rStyle w:val="Accentuation"/>
          <w:rFonts w:asciiTheme="minorHAnsi" w:hAnsiTheme="minorHAnsi" w:cstheme="minorHAnsi"/>
          <w:color w:val="363D3A"/>
          <w:sz w:val="22"/>
          <w:szCs w:val="22"/>
          <w:bdr w:val="none" w:sz="0" w:space="0" w:color="auto" w:frame="1"/>
          <w:lang w:val="en-CA"/>
        </w:rPr>
        <w:t>Litigation Guide – IBA Litigation Committee</w:t>
      </w:r>
      <w:r w:rsidRPr="001C5D5C">
        <w:rPr>
          <w:rFonts w:asciiTheme="minorHAnsi" w:hAnsiTheme="minorHAnsi" w:cstheme="minorHAnsi"/>
          <w:color w:val="363D3A"/>
          <w:sz w:val="22"/>
          <w:szCs w:val="22"/>
          <w:lang w:val="en-CA"/>
        </w:rPr>
        <w:t>, July 1</w:t>
      </w:r>
      <w:r w:rsidRPr="001C5D5C">
        <w:rPr>
          <w:rFonts w:asciiTheme="minorHAnsi" w:hAnsiTheme="minorHAnsi" w:cstheme="minorHAnsi"/>
          <w:color w:val="363D3A"/>
          <w:sz w:val="22"/>
          <w:szCs w:val="22"/>
          <w:bdr w:val="none" w:sz="0" w:space="0" w:color="auto" w:frame="1"/>
          <w:vertAlign w:val="superscript"/>
          <w:lang w:val="en-CA"/>
        </w:rPr>
        <w:t>st</w:t>
      </w:r>
      <w:r w:rsidRPr="001C5D5C">
        <w:rPr>
          <w:rFonts w:asciiTheme="minorHAnsi" w:hAnsiTheme="minorHAnsi" w:cstheme="minorHAnsi"/>
          <w:color w:val="363D3A"/>
          <w:sz w:val="22"/>
          <w:szCs w:val="22"/>
          <w:lang w:val="en-CA"/>
        </w:rPr>
        <w:t>, 2013.</w:t>
      </w:r>
    </w:p>
    <w:sectPr w:rsidR="00366085" w:rsidRPr="00A664D1">
      <w:head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A9301" w14:textId="77777777" w:rsidR="008B6CF9" w:rsidRDefault="0095569A">
      <w:pPr>
        <w:spacing w:after="0" w:line="240" w:lineRule="auto"/>
      </w:pPr>
      <w:r>
        <w:separator/>
      </w:r>
    </w:p>
  </w:endnote>
  <w:endnote w:type="continuationSeparator" w:id="0">
    <w:p w14:paraId="06AFE121" w14:textId="77777777" w:rsidR="008B6CF9" w:rsidRDefault="0095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C37A2" w14:textId="77777777" w:rsidR="008B6CF9" w:rsidRDefault="0095569A">
      <w:pPr>
        <w:spacing w:after="0" w:line="240" w:lineRule="auto"/>
      </w:pPr>
      <w:r>
        <w:separator/>
      </w:r>
    </w:p>
  </w:footnote>
  <w:footnote w:type="continuationSeparator" w:id="0">
    <w:p w14:paraId="60BB6EDE" w14:textId="77777777" w:rsidR="008B6CF9" w:rsidRDefault="00955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22A9E" w14:textId="77777777" w:rsidR="00E34088" w:rsidRDefault="00CB3544" w:rsidP="00E34088">
    <w:pPr>
      <w:pStyle w:val="En-tte"/>
      <w:jc w:val="right"/>
    </w:pPr>
    <w:r>
      <w:rPr>
        <w:noProof/>
      </w:rPr>
      <w:drawing>
        <wp:inline distT="0" distB="0" distL="0" distR="0" wp14:anchorId="49BAD28F" wp14:editId="1F2C8487">
          <wp:extent cx="706582" cy="70658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
                    <a:extLst>
                      <a:ext uri="{28A0092B-C50C-407E-A947-70E740481C1C}">
                        <a14:useLocalDpi xmlns:a14="http://schemas.microsoft.com/office/drawing/2010/main" val="0"/>
                      </a:ext>
                    </a:extLst>
                  </a:blip>
                  <a:stretch>
                    <a:fillRect/>
                  </a:stretch>
                </pic:blipFill>
                <pic:spPr>
                  <a:xfrm>
                    <a:off x="0" y="0"/>
                    <a:ext cx="706582" cy="7065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3A1D27"/>
    <w:multiLevelType w:val="hybridMultilevel"/>
    <w:tmpl w:val="54525642"/>
    <w:lvl w:ilvl="0" w:tplc="442848F6">
      <w:start w:val="1"/>
      <w:numFmt w:val="bullet"/>
      <w:lvlText w:val=""/>
      <w:lvlJc w:val="left"/>
      <w:pPr>
        <w:ind w:left="720" w:hanging="360"/>
      </w:pPr>
      <w:rPr>
        <w:rFonts w:ascii="Symbol" w:hAnsi="Symbol" w:hint="default"/>
        <w:color w:val="084439"/>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AB65C71"/>
    <w:multiLevelType w:val="hybridMultilevel"/>
    <w:tmpl w:val="D3B2DADA"/>
    <w:lvl w:ilvl="0" w:tplc="0E36866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88C4856"/>
    <w:multiLevelType w:val="hybridMultilevel"/>
    <w:tmpl w:val="BF9088A8"/>
    <w:lvl w:ilvl="0" w:tplc="A2401A44">
      <w:start w:val="1"/>
      <w:numFmt w:val="bullet"/>
      <w:lvlText w:val=""/>
      <w:lvlJc w:val="left"/>
      <w:pPr>
        <w:ind w:left="720" w:hanging="360"/>
      </w:pPr>
      <w:rPr>
        <w:rFonts w:ascii="Symbol" w:hAnsi="Symbol" w:hint="default"/>
        <w:color w:val="084439"/>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88"/>
    <w:rsid w:val="00366085"/>
    <w:rsid w:val="00512568"/>
    <w:rsid w:val="006D0688"/>
    <w:rsid w:val="008B6CF9"/>
    <w:rsid w:val="0095569A"/>
    <w:rsid w:val="00A664D1"/>
    <w:rsid w:val="00CB354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03EF"/>
  <w15:chartTrackingRefBased/>
  <w15:docId w15:val="{32C32BB6-F189-4E3D-84DD-0B10CCA2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688"/>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D0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D0688"/>
    <w:pPr>
      <w:tabs>
        <w:tab w:val="center" w:pos="4320"/>
        <w:tab w:val="right" w:pos="8640"/>
      </w:tabs>
      <w:spacing w:after="0" w:line="240" w:lineRule="auto"/>
    </w:pPr>
  </w:style>
  <w:style w:type="character" w:customStyle="1" w:styleId="En-tteCar">
    <w:name w:val="En-tête Car"/>
    <w:basedOn w:val="Policepardfaut"/>
    <w:link w:val="En-tte"/>
    <w:uiPriority w:val="99"/>
    <w:rsid w:val="006D0688"/>
  </w:style>
  <w:style w:type="paragraph" w:styleId="Paragraphedeliste">
    <w:name w:val="List Paragraph"/>
    <w:basedOn w:val="Normal"/>
    <w:uiPriority w:val="34"/>
    <w:qFormat/>
    <w:rsid w:val="006D0688"/>
    <w:pPr>
      <w:ind w:left="720"/>
      <w:contextualSpacing/>
    </w:pPr>
  </w:style>
  <w:style w:type="paragraph" w:styleId="NormalWeb">
    <w:name w:val="Normal (Web)"/>
    <w:basedOn w:val="Normal"/>
    <w:uiPriority w:val="99"/>
    <w:unhideWhenUsed/>
    <w:rsid w:val="006D0688"/>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6D0688"/>
    <w:rPr>
      <w:i/>
      <w:iCs/>
    </w:rPr>
  </w:style>
  <w:style w:type="character" w:styleId="Lienhypertexte">
    <w:name w:val="Hyperlink"/>
    <w:basedOn w:val="Policepardfaut"/>
    <w:uiPriority w:val="99"/>
    <w:unhideWhenUsed/>
    <w:rsid w:val="006D0688"/>
    <w:rPr>
      <w:color w:val="0000FF"/>
      <w:u w:val="single"/>
    </w:rPr>
  </w:style>
  <w:style w:type="character" w:styleId="Mentionnonrsolue">
    <w:name w:val="Unresolved Mention"/>
    <w:basedOn w:val="Policepardfaut"/>
    <w:uiPriority w:val="99"/>
    <w:semiHidden/>
    <w:unhideWhenUsed/>
    <w:rsid w:val="00A66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elawandbusiness.com/books/enforcement-of-investment-treaty-arbitration-awards-a-global-guide-second-edition" TargetMode="External"/><Relationship Id="rId13" Type="http://schemas.openxmlformats.org/officeDocument/2006/relationships/hyperlink" Target="http://www.ibanet.org/Document/Default.aspx?DocumentUid=C5C1FF6E-6C93-4E66-B521-D8D6314D0CE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boutiquelitige.com/uploads/files/Secret_professionnel_de_l%E2%80%99avocat_et_transaction_commerciale_complex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octrine.caij.qc.ca/developpements-recents/371/36815376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outiquelitige.com/uploads/files/Secret_professionnel_de_l%E2%80%99avocat_et_transaction_commerciale_complexe.pdf" TargetMode="External"/><Relationship Id="rId4" Type="http://schemas.openxmlformats.org/officeDocument/2006/relationships/webSettings" Target="webSettings.xml"/><Relationship Id="rId9" Type="http://schemas.openxmlformats.org/officeDocument/2006/relationships/hyperlink" Target="https://globalarbitrationreview.com/chapter/1209319/the-contribution-of-canadian-law-to-international-mining-arbitra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811</Words>
  <Characters>4464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Davina Tahraoui</dc:creator>
  <cp:keywords/>
  <dc:description/>
  <cp:lastModifiedBy>Eric Bédard</cp:lastModifiedBy>
  <cp:revision>3</cp:revision>
  <dcterms:created xsi:type="dcterms:W3CDTF">2021-03-09T17:05:00Z</dcterms:created>
  <dcterms:modified xsi:type="dcterms:W3CDTF">2021-03-09T17:17:00Z</dcterms:modified>
</cp:coreProperties>
</file>